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925BB0D" w14:textId="18F2AE90" w:rsidR="00CD2C73" w:rsidRPr="00E70CA3" w:rsidRDefault="00CD2C73" w:rsidP="00CD2C73">
      <w:pPr>
        <w:pStyle w:val="Standard1"/>
        <w:shd w:val="clear" w:color="auto" w:fill="FFFFFF"/>
        <w:spacing w:line="200" w:lineRule="atLeast"/>
        <w:jc w:val="center"/>
        <w:rPr>
          <w:rFonts w:cs="Times New Roman"/>
          <w:b/>
          <w:bCs/>
          <w:color w:val="538135" w:themeColor="accent6" w:themeShade="BF"/>
          <w:sz w:val="32"/>
          <w:szCs w:val="32"/>
          <w:lang w:val="en-GB"/>
        </w:rPr>
      </w:pPr>
    </w:p>
    <w:p w14:paraId="19E5CE61" w14:textId="455CEE10" w:rsidR="00CD2C73" w:rsidRPr="006B3D7C" w:rsidRDefault="00CD2C73" w:rsidP="00CD2C73">
      <w:pPr>
        <w:pStyle w:val="Standard1"/>
        <w:shd w:val="clear" w:color="auto" w:fill="FFFFFF"/>
        <w:spacing w:line="200" w:lineRule="atLeast"/>
        <w:jc w:val="center"/>
        <w:rPr>
          <w:rFonts w:cs="Times New Roman"/>
          <w:b/>
          <w:bCs/>
          <w:color w:val="538135" w:themeColor="accent6" w:themeShade="BF"/>
          <w:sz w:val="32"/>
          <w:szCs w:val="32"/>
          <w:lang w:val="de-DE"/>
        </w:rPr>
      </w:pPr>
      <w:r w:rsidRPr="00E70CA3">
        <w:rPr>
          <w:b/>
          <w:color w:val="538135" w:themeColor="accent6" w:themeShade="BF"/>
          <w:sz w:val="32"/>
          <w:szCs w:val="32"/>
          <w:lang w:val="de"/>
        </w:rPr>
        <w:t>Förderung der aktiven Bürgerschaft und Nachhaltigkeit der Europäischen Union</w:t>
      </w:r>
    </w:p>
    <w:p w14:paraId="202B14BD" w14:textId="65DE6E53" w:rsidR="00CD2C73" w:rsidRPr="006B3D7C" w:rsidRDefault="00CD2C73" w:rsidP="00CD2C73">
      <w:pPr>
        <w:pStyle w:val="Standard1"/>
        <w:shd w:val="clear" w:color="auto" w:fill="FFFFFF"/>
        <w:spacing w:line="200" w:lineRule="atLeast"/>
        <w:jc w:val="center"/>
        <w:rPr>
          <w:rFonts w:cs="Times New Roman"/>
          <w:b/>
          <w:bCs/>
          <w:color w:val="538135" w:themeColor="accent6" w:themeShade="BF"/>
          <w:sz w:val="32"/>
          <w:szCs w:val="32"/>
          <w:lang w:val="de-DE"/>
        </w:rPr>
      </w:pPr>
      <w:r w:rsidRPr="00E70CA3">
        <w:rPr>
          <w:b/>
          <w:color w:val="538135" w:themeColor="accent6" w:themeShade="BF"/>
          <w:sz w:val="32"/>
          <w:szCs w:val="32"/>
          <w:lang w:val="de"/>
        </w:rPr>
        <w:t>Durch ökologisches Denken von N</w:t>
      </w:r>
      <w:r w:rsidR="00B9269C">
        <w:rPr>
          <w:b/>
          <w:color w:val="538135" w:themeColor="accent6" w:themeShade="BF"/>
          <w:sz w:val="32"/>
          <w:szCs w:val="32"/>
          <w:lang w:val="de"/>
        </w:rPr>
        <w:t>G</w:t>
      </w:r>
      <w:r w:rsidRPr="00E70CA3">
        <w:rPr>
          <w:b/>
          <w:color w:val="538135" w:themeColor="accent6" w:themeShade="BF"/>
          <w:sz w:val="32"/>
          <w:szCs w:val="32"/>
          <w:lang w:val="de"/>
        </w:rPr>
        <w:t>Os</w:t>
      </w:r>
    </w:p>
    <w:p w14:paraId="0F6D849C" w14:textId="772A7BFC" w:rsidR="00CD2C73" w:rsidRPr="00D633B5" w:rsidRDefault="00CD2C73" w:rsidP="00D633B5">
      <w:pPr>
        <w:pStyle w:val="Standard1"/>
        <w:spacing w:line="200" w:lineRule="atLeast"/>
        <w:jc w:val="center"/>
        <w:rPr>
          <w:rFonts w:cs="Times New Roman"/>
          <w:b/>
          <w:bCs/>
          <w:sz w:val="32"/>
          <w:szCs w:val="32"/>
          <w:lang w:val="de-DE"/>
        </w:rPr>
      </w:pPr>
      <w:r w:rsidRPr="00E70CA3">
        <w:rPr>
          <w:b/>
          <w:sz w:val="32"/>
          <w:szCs w:val="32"/>
          <w:lang w:val="de"/>
        </w:rPr>
        <w:t>[NGEnvironment]</w:t>
      </w:r>
    </w:p>
    <w:p w14:paraId="778506A5" w14:textId="77777777" w:rsidR="00CD2C73" w:rsidRPr="00E70CA3" w:rsidRDefault="00CD2C73" w:rsidP="00CD2C73">
      <w:pPr>
        <w:jc w:val="center"/>
        <w:rPr>
          <w:rFonts w:cs="Times New Roman"/>
          <w:b/>
          <w:bCs/>
          <w:color w:val="538135" w:themeColor="accent6" w:themeShade="BF"/>
          <w:sz w:val="28"/>
          <w:szCs w:val="28"/>
          <w:lang w:val="en-GB"/>
        </w:rPr>
      </w:pPr>
      <w:r w:rsidRPr="00E70CA3">
        <w:rPr>
          <w:b/>
          <w:color w:val="538135" w:themeColor="accent6" w:themeShade="BF"/>
          <w:sz w:val="28"/>
          <w:szCs w:val="28"/>
          <w:lang w:val="de"/>
        </w:rPr>
        <w:t>01.09.2018 bis 31.08.2021</w:t>
      </w:r>
    </w:p>
    <w:p w14:paraId="3A70BEB2" w14:textId="7F792450" w:rsidR="00CD2C73" w:rsidRPr="00E70CA3" w:rsidRDefault="00CD2C73" w:rsidP="00CD2C73">
      <w:pPr>
        <w:jc w:val="center"/>
        <w:rPr>
          <w:lang w:val="en-GB"/>
        </w:rPr>
      </w:pPr>
    </w:p>
    <w:tbl>
      <w:tblPr>
        <w:tblStyle w:val="Tabellenraster"/>
        <w:tblW w:w="9776" w:type="dxa"/>
        <w:tblLook w:val="04A0" w:firstRow="1" w:lastRow="0" w:firstColumn="1" w:lastColumn="0" w:noHBand="0" w:noVBand="1"/>
      </w:tblPr>
      <w:tblGrid>
        <w:gridCol w:w="5098"/>
        <w:gridCol w:w="284"/>
        <w:gridCol w:w="4394"/>
      </w:tblGrid>
      <w:tr w:rsidR="00E70CA3" w:rsidRPr="00E70CA3" w14:paraId="0D497462" w14:textId="77777777" w:rsidTr="00DE401E">
        <w:tc>
          <w:tcPr>
            <w:tcW w:w="5098" w:type="dxa"/>
            <w:shd w:val="clear" w:color="auto" w:fill="C5E0B3" w:themeFill="accent6" w:themeFillTint="66"/>
          </w:tcPr>
          <w:p w14:paraId="61EC58F1" w14:textId="20EEA63B" w:rsidR="00D633B5" w:rsidRPr="00D633B5" w:rsidRDefault="00D633B5" w:rsidP="00D633B5">
            <w:pPr>
              <w:pStyle w:val="Standard1"/>
              <w:jc w:val="both"/>
              <w:rPr>
                <w:color w:val="000000"/>
                <w:sz w:val="22"/>
                <w:szCs w:val="22"/>
                <w:lang w:val="de"/>
              </w:rPr>
            </w:pPr>
            <w:r w:rsidRPr="00D633B5">
              <w:rPr>
                <w:color w:val="000000"/>
                <w:sz w:val="22"/>
                <w:szCs w:val="22"/>
                <w:lang w:val="de"/>
              </w:rPr>
              <w:t>N</w:t>
            </w:r>
            <w:r w:rsidR="00B9269C">
              <w:rPr>
                <w:color w:val="000000"/>
                <w:sz w:val="22"/>
                <w:szCs w:val="22"/>
                <w:lang w:val="de"/>
              </w:rPr>
              <w:t>G</w:t>
            </w:r>
            <w:r w:rsidRPr="00D633B5">
              <w:rPr>
                <w:color w:val="000000"/>
                <w:sz w:val="22"/>
                <w:szCs w:val="22"/>
                <w:lang w:val="de"/>
              </w:rPr>
              <w:t>Os spielen eine entscheidende Rolle für das Wohlergehen der Menschheit. Ihre Bedeutung als Förderer eines positiven Wandels in der Welt ist unbestritten.</w:t>
            </w:r>
          </w:p>
          <w:p w14:paraId="431CEE1E" w14:textId="1A006C8A" w:rsidR="00D633B5" w:rsidRPr="00D633B5" w:rsidRDefault="00B9269C" w:rsidP="00D633B5">
            <w:pPr>
              <w:pStyle w:val="Standard1"/>
              <w:jc w:val="both"/>
              <w:rPr>
                <w:color w:val="000000"/>
                <w:sz w:val="22"/>
                <w:szCs w:val="22"/>
                <w:lang w:val="de"/>
              </w:rPr>
            </w:pPr>
            <w:r>
              <w:rPr>
                <w:color w:val="000000"/>
                <w:sz w:val="22"/>
                <w:szCs w:val="22"/>
                <w:lang w:val="de"/>
              </w:rPr>
              <w:t>Die Gründung einer NG</w:t>
            </w:r>
            <w:r w:rsidR="00D633B5" w:rsidRPr="00D633B5">
              <w:rPr>
                <w:color w:val="000000"/>
                <w:sz w:val="22"/>
                <w:szCs w:val="22"/>
                <w:lang w:val="de"/>
              </w:rPr>
              <w:t>O ist jedoch in der Regel ein langwieriger, zeitaufwendiger Prozess, der viele Zweifel und Unsicherheiten aufwirft.</w:t>
            </w:r>
          </w:p>
          <w:p w14:paraId="47E7C333" w14:textId="77777777" w:rsidR="00D633B5" w:rsidRPr="00D633B5" w:rsidRDefault="00D633B5" w:rsidP="00D633B5">
            <w:pPr>
              <w:pStyle w:val="Standard1"/>
              <w:jc w:val="both"/>
              <w:rPr>
                <w:color w:val="000000"/>
                <w:sz w:val="22"/>
                <w:szCs w:val="22"/>
                <w:lang w:val="de"/>
              </w:rPr>
            </w:pPr>
          </w:p>
          <w:p w14:paraId="21384E40" w14:textId="405174CB" w:rsidR="00D633B5" w:rsidRPr="00D633B5" w:rsidRDefault="00D633B5" w:rsidP="00D633B5">
            <w:pPr>
              <w:pStyle w:val="Standard1"/>
              <w:jc w:val="both"/>
              <w:rPr>
                <w:color w:val="000000"/>
                <w:sz w:val="22"/>
                <w:szCs w:val="22"/>
                <w:lang w:val="de"/>
              </w:rPr>
            </w:pPr>
            <w:r w:rsidRPr="00D633B5">
              <w:rPr>
                <w:color w:val="000000"/>
                <w:sz w:val="22"/>
                <w:szCs w:val="22"/>
                <w:lang w:val="de"/>
              </w:rPr>
              <w:t>Wir glauben, dass die Schwierigkeiten des</w:t>
            </w:r>
            <w:r w:rsidR="00B9269C">
              <w:rPr>
                <w:color w:val="000000"/>
                <w:sz w:val="22"/>
                <w:szCs w:val="22"/>
                <w:lang w:val="de"/>
              </w:rPr>
              <w:t xml:space="preserve"> Prozesses zur Gründung einer NG</w:t>
            </w:r>
            <w:r w:rsidRPr="00D633B5">
              <w:rPr>
                <w:color w:val="000000"/>
                <w:sz w:val="22"/>
                <w:szCs w:val="22"/>
                <w:lang w:val="de"/>
              </w:rPr>
              <w:t>O minimiert werden können, wenn eine konsequente Reihe von Schritten befolgt und Rat eingeholt wird. Hier setzt das NGEnvironment Project an.</w:t>
            </w:r>
          </w:p>
          <w:p w14:paraId="081EB51C" w14:textId="77777777" w:rsidR="00D633B5" w:rsidRPr="00D633B5" w:rsidRDefault="00D633B5" w:rsidP="00D633B5">
            <w:pPr>
              <w:pStyle w:val="Standard1"/>
              <w:jc w:val="both"/>
              <w:rPr>
                <w:color w:val="000000"/>
                <w:sz w:val="22"/>
                <w:szCs w:val="22"/>
                <w:lang w:val="de"/>
              </w:rPr>
            </w:pPr>
          </w:p>
          <w:p w14:paraId="1D16AE11" w14:textId="495D1778" w:rsidR="00D633B5" w:rsidRPr="00D633B5" w:rsidRDefault="00D633B5" w:rsidP="00D633B5">
            <w:pPr>
              <w:pStyle w:val="Standard1"/>
              <w:jc w:val="both"/>
              <w:rPr>
                <w:color w:val="000000"/>
                <w:sz w:val="22"/>
                <w:szCs w:val="22"/>
                <w:lang w:val="de"/>
              </w:rPr>
            </w:pPr>
            <w:r w:rsidRPr="00D633B5">
              <w:rPr>
                <w:color w:val="000000"/>
                <w:sz w:val="22"/>
                <w:szCs w:val="22"/>
                <w:lang w:val="de"/>
              </w:rPr>
              <w:t>NGEnvironment will aktive Bürgerschaft und Nachhaltigkeit bei Erwachsenen in Europa fördern. Die Projektpartner wollen eine Vielzahl von Instrumenten schaffen, um potenzielle und derzeitige N</w:t>
            </w:r>
            <w:r w:rsidR="00B9269C">
              <w:rPr>
                <w:color w:val="000000"/>
                <w:sz w:val="22"/>
                <w:szCs w:val="22"/>
                <w:lang w:val="de"/>
              </w:rPr>
              <w:t>G</w:t>
            </w:r>
            <w:r w:rsidRPr="00D633B5">
              <w:rPr>
                <w:color w:val="000000"/>
                <w:sz w:val="22"/>
                <w:szCs w:val="22"/>
                <w:lang w:val="de"/>
              </w:rPr>
              <w:t>O-Leiter auszubilden. Die Begünstigten haben die Möglichkeit, ihre Fähigkeiten und Grundkompetenzen in den Bereichen Führung, Bürgerschaft und N</w:t>
            </w:r>
            <w:r w:rsidR="00B9269C">
              <w:rPr>
                <w:color w:val="000000"/>
                <w:sz w:val="22"/>
                <w:szCs w:val="22"/>
                <w:lang w:val="de"/>
              </w:rPr>
              <w:t>G</w:t>
            </w:r>
            <w:r w:rsidRPr="00D633B5">
              <w:rPr>
                <w:color w:val="000000"/>
                <w:sz w:val="22"/>
                <w:szCs w:val="22"/>
                <w:lang w:val="de"/>
              </w:rPr>
              <w:t xml:space="preserve">O-Management zu verbessern und gleichzeitig die Chance grüne und soziale Maßnahmen zu unterstützen. </w:t>
            </w:r>
          </w:p>
          <w:p w14:paraId="0A20932D" w14:textId="77777777" w:rsidR="00D633B5" w:rsidRPr="00D633B5" w:rsidRDefault="00D633B5" w:rsidP="00D633B5">
            <w:pPr>
              <w:pStyle w:val="Standard1"/>
              <w:jc w:val="both"/>
              <w:rPr>
                <w:color w:val="000000"/>
                <w:sz w:val="22"/>
                <w:szCs w:val="22"/>
                <w:lang w:val="de"/>
              </w:rPr>
            </w:pPr>
          </w:p>
          <w:p w14:paraId="02C59A6D" w14:textId="1EBAE663" w:rsidR="00E70CA3" w:rsidRPr="00D633B5" w:rsidRDefault="00D633B5" w:rsidP="00D633B5">
            <w:pPr>
              <w:jc w:val="center"/>
              <w:rPr>
                <w:b/>
                <w:bCs/>
                <w:i/>
                <w:iCs/>
                <w:sz w:val="22"/>
                <w:szCs w:val="22"/>
                <w:lang w:val="de-DE"/>
              </w:rPr>
            </w:pPr>
            <w:r w:rsidRPr="00D633B5">
              <w:rPr>
                <w:color w:val="000000"/>
                <w:sz w:val="22"/>
                <w:szCs w:val="22"/>
                <w:lang w:val="de"/>
              </w:rPr>
              <w:t>Werden Sie einer der Begünstigten von NGEnvironment!</w:t>
            </w:r>
          </w:p>
        </w:tc>
        <w:tc>
          <w:tcPr>
            <w:tcW w:w="284" w:type="dxa"/>
            <w:vMerge w:val="restart"/>
            <w:shd w:val="clear" w:color="auto" w:fill="2F5496" w:themeFill="accent1" w:themeFillShade="BF"/>
          </w:tcPr>
          <w:p w14:paraId="71C20BDB" w14:textId="35368C18" w:rsidR="00E70CA3" w:rsidRPr="006B3D7C" w:rsidRDefault="00E70CA3" w:rsidP="00E70CA3">
            <w:pPr>
              <w:rPr>
                <w:lang w:val="de-DE"/>
              </w:rPr>
            </w:pPr>
          </w:p>
        </w:tc>
        <w:tc>
          <w:tcPr>
            <w:tcW w:w="4394" w:type="dxa"/>
            <w:shd w:val="clear" w:color="auto" w:fill="D9D9D9" w:themeFill="background1" w:themeFillShade="D9"/>
          </w:tcPr>
          <w:p w14:paraId="1D62F16D" w14:textId="77777777" w:rsidR="00703F96" w:rsidRPr="00D633B5" w:rsidRDefault="00703F96" w:rsidP="0060759B">
            <w:pPr>
              <w:jc w:val="center"/>
              <w:rPr>
                <w:sz w:val="22"/>
                <w:lang w:val="de-DE"/>
              </w:rPr>
            </w:pPr>
          </w:p>
          <w:p w14:paraId="666F8B97" w14:textId="281704FC" w:rsidR="00E70CA3" w:rsidRPr="00D633B5" w:rsidRDefault="00D633B5" w:rsidP="0060759B">
            <w:pPr>
              <w:jc w:val="center"/>
              <w:rPr>
                <w:sz w:val="22"/>
                <w:lang w:val="de-DE"/>
              </w:rPr>
            </w:pPr>
            <w:r w:rsidRPr="00D633B5">
              <w:rPr>
                <w:color w:val="000000"/>
                <w:sz w:val="22"/>
                <w:lang w:val="de"/>
              </w:rPr>
              <w:t>NGEnvironment</w:t>
            </w:r>
            <w:r w:rsidR="0060759B" w:rsidRPr="00D633B5">
              <w:rPr>
                <w:sz w:val="22"/>
                <w:lang w:val="de-DE"/>
              </w:rPr>
              <w:t>:</w:t>
            </w:r>
          </w:p>
          <w:p w14:paraId="5254B89D" w14:textId="77777777" w:rsidR="0060759B" w:rsidRPr="00D633B5" w:rsidRDefault="0060759B" w:rsidP="0060759B">
            <w:pPr>
              <w:jc w:val="center"/>
              <w:rPr>
                <w:sz w:val="22"/>
                <w:lang w:val="de-DE"/>
              </w:rPr>
            </w:pPr>
          </w:p>
          <w:p w14:paraId="3D78A841" w14:textId="60A0E0AC" w:rsidR="0060759B" w:rsidRPr="00D633B5" w:rsidRDefault="0060759B" w:rsidP="0060759B">
            <w:pPr>
              <w:jc w:val="center"/>
              <w:rPr>
                <w:b/>
                <w:bCs/>
                <w:i/>
                <w:iCs/>
                <w:color w:val="538135" w:themeColor="accent6" w:themeShade="BF"/>
                <w:sz w:val="22"/>
                <w:lang w:val="de-DE"/>
              </w:rPr>
            </w:pPr>
            <w:r w:rsidRPr="00D633B5" w:rsidDel="00000001">
              <w:rPr>
                <w:b/>
                <w:i/>
                <w:color w:val="538135" w:themeColor="accent6" w:themeShade="BF"/>
                <w:sz w:val="22"/>
                <w:lang w:val="de"/>
              </w:rPr>
              <w:sym w:font="Wingdings" w:char="F0D8"/>
            </w:r>
            <w:r w:rsidRPr="00D633B5" w:rsidDel="00000002">
              <w:rPr>
                <w:b/>
                <w:i/>
                <w:color w:val="538135" w:themeColor="accent6" w:themeShade="BF"/>
                <w:sz w:val="22"/>
                <w:lang w:val="de-DE"/>
              </w:rPr>
              <w:t xml:space="preserve"> </w:t>
            </w:r>
            <w:r w:rsidR="00D633B5" w:rsidRPr="00D633B5">
              <w:rPr>
                <w:b/>
                <w:i/>
                <w:color w:val="538135" w:themeColor="accent6" w:themeShade="BF"/>
                <w:sz w:val="22"/>
                <w:lang w:val="de-DE"/>
              </w:rPr>
              <w:t>Mach dich stark</w:t>
            </w:r>
            <w:r w:rsidRPr="00D633B5" w:rsidDel="00000002">
              <w:rPr>
                <w:b/>
                <w:i/>
                <w:color w:val="538135" w:themeColor="accent6" w:themeShade="BF"/>
                <w:sz w:val="22"/>
                <w:lang w:val="de-DE"/>
              </w:rPr>
              <w:t>!</w:t>
            </w:r>
          </w:p>
          <w:p w14:paraId="68E34497" w14:textId="0F189D34" w:rsidR="0060759B" w:rsidRPr="00D633B5" w:rsidRDefault="0060759B" w:rsidP="0060759B">
            <w:pPr>
              <w:jc w:val="center"/>
              <w:rPr>
                <w:b/>
                <w:bCs/>
                <w:i/>
                <w:iCs/>
                <w:color w:val="538135" w:themeColor="accent6" w:themeShade="BF"/>
                <w:sz w:val="22"/>
                <w:lang w:val="de-DE"/>
              </w:rPr>
            </w:pPr>
            <w:r w:rsidRPr="00D633B5" w:rsidDel="00000001">
              <w:rPr>
                <w:b/>
                <w:i/>
                <w:color w:val="538135" w:themeColor="accent6" w:themeShade="BF"/>
                <w:sz w:val="22"/>
                <w:lang w:val="de"/>
              </w:rPr>
              <w:sym w:font="Wingdings" w:char="F0D8"/>
            </w:r>
            <w:r w:rsidRPr="00D633B5" w:rsidDel="00000002">
              <w:rPr>
                <w:b/>
                <w:i/>
                <w:color w:val="538135" w:themeColor="accent6" w:themeShade="BF"/>
                <w:sz w:val="22"/>
                <w:lang w:val="de-DE"/>
              </w:rPr>
              <w:t xml:space="preserve"> </w:t>
            </w:r>
            <w:r w:rsidR="00D633B5" w:rsidRPr="00D633B5">
              <w:rPr>
                <w:b/>
                <w:i/>
                <w:color w:val="538135" w:themeColor="accent6" w:themeShade="BF"/>
                <w:sz w:val="22"/>
                <w:lang w:val="de-DE"/>
              </w:rPr>
              <w:t>Trainiert dich</w:t>
            </w:r>
            <w:r w:rsidRPr="00D633B5" w:rsidDel="00000002">
              <w:rPr>
                <w:b/>
                <w:i/>
                <w:color w:val="538135" w:themeColor="accent6" w:themeShade="BF"/>
                <w:sz w:val="22"/>
                <w:lang w:val="de-DE"/>
              </w:rPr>
              <w:t>!</w:t>
            </w:r>
          </w:p>
          <w:p w14:paraId="4933F676" w14:textId="3F8DD475" w:rsidR="0060759B" w:rsidRPr="00D633B5" w:rsidRDefault="0060759B" w:rsidP="0060759B">
            <w:pPr>
              <w:jc w:val="center"/>
              <w:rPr>
                <w:color w:val="538135" w:themeColor="accent6" w:themeShade="BF"/>
                <w:sz w:val="22"/>
                <w:lang w:val="de-DE"/>
              </w:rPr>
            </w:pPr>
            <w:r w:rsidRPr="00D633B5" w:rsidDel="00000001">
              <w:rPr>
                <w:b/>
                <w:i/>
                <w:color w:val="538135" w:themeColor="accent6" w:themeShade="BF"/>
                <w:sz w:val="22"/>
                <w:lang w:val="de"/>
              </w:rPr>
              <w:sym w:font="Wingdings" w:char="F0D8"/>
            </w:r>
            <w:r w:rsidRPr="00D633B5" w:rsidDel="00000002">
              <w:rPr>
                <w:b/>
                <w:i/>
                <w:color w:val="538135" w:themeColor="accent6" w:themeShade="BF"/>
                <w:sz w:val="22"/>
                <w:lang w:val="de"/>
              </w:rPr>
              <w:t xml:space="preserve"> </w:t>
            </w:r>
            <w:r w:rsidR="00D633B5" w:rsidRPr="00D633B5">
              <w:rPr>
                <w:b/>
                <w:i/>
                <w:color w:val="538135" w:themeColor="accent6" w:themeShade="BF"/>
                <w:sz w:val="22"/>
                <w:lang w:val="de"/>
              </w:rPr>
              <w:t>Unterstützt dich</w:t>
            </w:r>
            <w:r w:rsidRPr="00D633B5" w:rsidDel="00000002">
              <w:rPr>
                <w:b/>
                <w:i/>
                <w:color w:val="538135" w:themeColor="accent6" w:themeShade="BF"/>
                <w:sz w:val="22"/>
                <w:lang w:val="de"/>
              </w:rPr>
              <w:t>!</w:t>
            </w:r>
          </w:p>
          <w:p w14:paraId="15376E51" w14:textId="77777777" w:rsidR="0060759B" w:rsidRPr="00D633B5" w:rsidRDefault="0060759B" w:rsidP="0060759B">
            <w:pPr>
              <w:jc w:val="both"/>
              <w:rPr>
                <w:sz w:val="22"/>
                <w:lang w:val="de-DE"/>
              </w:rPr>
            </w:pPr>
          </w:p>
          <w:p w14:paraId="498F2D45" w14:textId="6854D9EC" w:rsidR="0060759B" w:rsidRPr="00D633B5" w:rsidRDefault="00D633B5" w:rsidP="0060759B">
            <w:pPr>
              <w:jc w:val="both"/>
              <w:rPr>
                <w:sz w:val="22"/>
                <w:lang w:val="de"/>
              </w:rPr>
            </w:pPr>
            <w:r w:rsidRPr="00D633B5">
              <w:rPr>
                <w:sz w:val="22"/>
                <w:lang w:val="de"/>
              </w:rPr>
              <w:t>Das Projekt sieht zwei Trainingspakete vor</w:t>
            </w:r>
            <w:r w:rsidR="00914F09">
              <w:rPr>
                <w:sz w:val="22"/>
                <w:lang w:val="de"/>
              </w:rPr>
              <w:t>:</w:t>
            </w:r>
            <w:r w:rsidRPr="00D633B5">
              <w:rPr>
                <w:sz w:val="22"/>
                <w:lang w:val="de"/>
              </w:rPr>
              <w:t xml:space="preserve"> eines für N</w:t>
            </w:r>
            <w:r w:rsidR="00B9269C">
              <w:rPr>
                <w:sz w:val="22"/>
                <w:lang w:val="de"/>
              </w:rPr>
              <w:t>G</w:t>
            </w:r>
            <w:r w:rsidRPr="00D633B5">
              <w:rPr>
                <w:sz w:val="22"/>
                <w:lang w:val="de"/>
              </w:rPr>
              <w:t>O-Mentoren und eines für neue N</w:t>
            </w:r>
            <w:r w:rsidR="00914F09">
              <w:rPr>
                <w:sz w:val="22"/>
                <w:lang w:val="de"/>
              </w:rPr>
              <w:t>R</w:t>
            </w:r>
            <w:r w:rsidR="00B9269C">
              <w:rPr>
                <w:sz w:val="22"/>
                <w:lang w:val="de"/>
              </w:rPr>
              <w:t>O-Führungskräft</w:t>
            </w:r>
            <w:r w:rsidRPr="00D633B5">
              <w:rPr>
                <w:sz w:val="22"/>
                <w:lang w:val="de"/>
              </w:rPr>
              <w:t xml:space="preserve">. </w:t>
            </w:r>
          </w:p>
          <w:p w14:paraId="6389D6F8" w14:textId="77777777" w:rsidR="00D633B5" w:rsidRPr="00D633B5" w:rsidRDefault="00D633B5" w:rsidP="0060759B">
            <w:pPr>
              <w:jc w:val="both"/>
              <w:rPr>
                <w:sz w:val="22"/>
                <w:lang w:val="de-DE"/>
              </w:rPr>
            </w:pPr>
          </w:p>
          <w:p w14:paraId="6E95A179" w14:textId="1F7620B4" w:rsidR="0060759B" w:rsidRPr="00D633B5" w:rsidRDefault="00D633B5" w:rsidP="0060759B">
            <w:pPr>
              <w:jc w:val="both"/>
              <w:rPr>
                <w:sz w:val="22"/>
                <w:lang w:val="de"/>
              </w:rPr>
            </w:pPr>
            <w:r w:rsidRPr="00D633B5">
              <w:rPr>
                <w:sz w:val="22"/>
                <w:lang w:val="de"/>
              </w:rPr>
              <w:t xml:space="preserve">Eine Online-Plattform und ein </w:t>
            </w:r>
            <w:r w:rsidR="00B9269C">
              <w:rPr>
                <w:sz w:val="22"/>
                <w:lang w:val="de"/>
              </w:rPr>
              <w:t>Online Observatory</w:t>
            </w:r>
            <w:r w:rsidRPr="00D633B5">
              <w:rPr>
                <w:sz w:val="22"/>
                <w:lang w:val="de"/>
              </w:rPr>
              <w:t xml:space="preserve"> für Online-Training</w:t>
            </w:r>
            <w:r w:rsidR="00914F09">
              <w:rPr>
                <w:sz w:val="22"/>
                <w:lang w:val="de"/>
              </w:rPr>
              <w:t>s</w:t>
            </w:r>
            <w:r w:rsidRPr="00D633B5">
              <w:rPr>
                <w:sz w:val="22"/>
                <w:lang w:val="de"/>
              </w:rPr>
              <w:t xml:space="preserve"> stehen </w:t>
            </w:r>
            <w:r w:rsidR="00B9269C">
              <w:rPr>
                <w:sz w:val="22"/>
                <w:lang w:val="de"/>
              </w:rPr>
              <w:t>den Beteiligten</w:t>
            </w:r>
            <w:r w:rsidRPr="00D633B5">
              <w:rPr>
                <w:sz w:val="22"/>
                <w:lang w:val="de"/>
              </w:rPr>
              <w:t xml:space="preserve"> ebenfalls zur Verfügung: eine Sammlung</w:t>
            </w:r>
            <w:r w:rsidR="00B9269C">
              <w:rPr>
                <w:sz w:val="22"/>
                <w:lang w:val="de"/>
              </w:rPr>
              <w:t xml:space="preserve"> von Ergebnissen, Best-Practice</w:t>
            </w:r>
            <w:r w:rsidRPr="00D633B5">
              <w:rPr>
                <w:sz w:val="22"/>
                <w:lang w:val="de"/>
              </w:rPr>
              <w:t xml:space="preserve">-Beispielen und Vorbildern. </w:t>
            </w:r>
          </w:p>
          <w:p w14:paraId="1CC5BC63" w14:textId="77777777" w:rsidR="00D633B5" w:rsidRPr="00D633B5" w:rsidRDefault="00D633B5" w:rsidP="0060759B">
            <w:pPr>
              <w:jc w:val="both"/>
              <w:rPr>
                <w:sz w:val="22"/>
                <w:lang w:val="de-DE"/>
              </w:rPr>
            </w:pPr>
          </w:p>
          <w:p w14:paraId="4F75216D" w14:textId="2A0467A8" w:rsidR="001F50CA" w:rsidRPr="00D633B5" w:rsidRDefault="00D633B5" w:rsidP="0060759B">
            <w:pPr>
              <w:jc w:val="both"/>
              <w:rPr>
                <w:sz w:val="22"/>
                <w:lang w:val="de"/>
              </w:rPr>
            </w:pPr>
            <w:r w:rsidRPr="00D633B5">
              <w:rPr>
                <w:sz w:val="22"/>
                <w:lang w:val="de"/>
              </w:rPr>
              <w:t>Unsere lehrrei</w:t>
            </w:r>
            <w:r w:rsidR="00B9269C">
              <w:rPr>
                <w:sz w:val="22"/>
                <w:lang w:val="de"/>
              </w:rPr>
              <w:t>chen Videos - die Best-Practice-Beispiele der NG</w:t>
            </w:r>
            <w:r w:rsidRPr="00D633B5">
              <w:rPr>
                <w:sz w:val="22"/>
                <w:lang w:val="de"/>
              </w:rPr>
              <w:t xml:space="preserve">Os zeigen - motivieren und erhöhen die Beteiligung der Interessierten. </w:t>
            </w:r>
          </w:p>
          <w:p w14:paraId="397088ED" w14:textId="77777777" w:rsidR="00D633B5" w:rsidRPr="00D633B5" w:rsidRDefault="00D633B5" w:rsidP="0060759B">
            <w:pPr>
              <w:jc w:val="both"/>
              <w:rPr>
                <w:sz w:val="22"/>
                <w:lang w:val="de-DE"/>
              </w:rPr>
            </w:pPr>
          </w:p>
          <w:p w14:paraId="3C4DBC9C" w14:textId="1FAB0B2B" w:rsidR="0060759B" w:rsidRPr="00D633B5" w:rsidRDefault="001F50CA" w:rsidP="001F50CA">
            <w:pPr>
              <w:jc w:val="center"/>
              <w:rPr>
                <w:b/>
                <w:bCs/>
                <w:i/>
                <w:iCs/>
                <w:sz w:val="22"/>
                <w:lang w:val="de-DE"/>
              </w:rPr>
            </w:pPr>
            <w:r w:rsidRPr="00D633B5">
              <w:rPr>
                <w:b/>
                <w:i/>
                <w:color w:val="538135" w:themeColor="accent6" w:themeShade="BF"/>
                <w:sz w:val="22"/>
                <w:lang w:val="de"/>
              </w:rPr>
              <w:t>Entdecken Sie die NGEnvironment-Tools,</w:t>
            </w:r>
            <w:r w:rsidRPr="00D633B5">
              <w:rPr>
                <w:sz w:val="22"/>
                <w:lang w:val="de"/>
              </w:rPr>
              <w:t xml:space="preserve"> </w:t>
            </w:r>
            <w:r w:rsidRPr="00D633B5">
              <w:rPr>
                <w:b/>
                <w:i/>
                <w:color w:val="538135" w:themeColor="accent6" w:themeShade="BF"/>
                <w:sz w:val="22"/>
                <w:lang w:val="de"/>
              </w:rPr>
              <w:t>lassen</w:t>
            </w:r>
            <w:r w:rsidR="00D633B5" w:rsidRPr="00D633B5">
              <w:rPr>
                <w:b/>
                <w:i/>
                <w:color w:val="538135" w:themeColor="accent6" w:themeShade="BF"/>
                <w:sz w:val="22"/>
                <w:lang w:val="de"/>
              </w:rPr>
              <w:t xml:space="preserve"> </w:t>
            </w:r>
            <w:r w:rsidRPr="00D633B5">
              <w:rPr>
                <w:b/>
                <w:i/>
                <w:color w:val="538135" w:themeColor="accent6" w:themeShade="BF"/>
                <w:sz w:val="22"/>
                <w:lang w:val="de"/>
              </w:rPr>
              <w:t>Sie</w:t>
            </w:r>
            <w:r w:rsidRPr="00D633B5">
              <w:rPr>
                <w:sz w:val="22"/>
                <w:lang w:val="de"/>
              </w:rPr>
              <w:t xml:space="preserve"> </w:t>
            </w:r>
            <w:r w:rsidRPr="00D633B5">
              <w:rPr>
                <w:b/>
                <w:i/>
                <w:color w:val="538135" w:themeColor="accent6" w:themeShade="BF"/>
                <w:sz w:val="22"/>
                <w:lang w:val="de"/>
              </w:rPr>
              <w:t xml:space="preserve"> sich weiterbilden</w:t>
            </w:r>
            <w:r w:rsidR="00D633B5" w:rsidRPr="00D633B5">
              <w:rPr>
                <w:b/>
                <w:i/>
                <w:color w:val="538135" w:themeColor="accent6" w:themeShade="BF"/>
                <w:sz w:val="22"/>
                <w:lang w:val="de"/>
              </w:rPr>
              <w:t xml:space="preserve"> </w:t>
            </w:r>
            <w:r w:rsidRPr="00D633B5">
              <w:rPr>
                <w:b/>
                <w:i/>
                <w:color w:val="538135" w:themeColor="accent6" w:themeShade="BF"/>
                <w:sz w:val="22"/>
                <w:lang w:val="de"/>
              </w:rPr>
              <w:t>und verbessern Sie Ihre Fähigkeiten und Kompetenzen in den Jahren Führung, Bürgerschaft und N</w:t>
            </w:r>
            <w:r w:rsidR="00B9269C">
              <w:rPr>
                <w:b/>
                <w:i/>
                <w:color w:val="538135" w:themeColor="accent6" w:themeShade="BF"/>
                <w:sz w:val="22"/>
                <w:lang w:val="de"/>
              </w:rPr>
              <w:t>G</w:t>
            </w:r>
            <w:r w:rsidRPr="00D633B5">
              <w:rPr>
                <w:b/>
                <w:i/>
                <w:color w:val="538135" w:themeColor="accent6" w:themeShade="BF"/>
                <w:sz w:val="22"/>
                <w:lang w:val="de"/>
              </w:rPr>
              <w:t>O-Management!</w:t>
            </w:r>
          </w:p>
        </w:tc>
      </w:tr>
      <w:tr w:rsidR="00E70CA3" w:rsidRPr="00E70CA3" w14:paraId="244E3D5A" w14:textId="77777777" w:rsidTr="00DE401E">
        <w:tc>
          <w:tcPr>
            <w:tcW w:w="5098" w:type="dxa"/>
            <w:shd w:val="clear" w:color="auto" w:fill="D9D9D9" w:themeFill="background1" w:themeFillShade="D9"/>
          </w:tcPr>
          <w:p w14:paraId="77FB6D69" w14:textId="77777777" w:rsidR="00E70CA3" w:rsidRPr="006B3D7C" w:rsidRDefault="00E70CA3" w:rsidP="001F50CA">
            <w:pPr>
              <w:spacing w:line="252" w:lineRule="auto"/>
              <w:jc w:val="center"/>
              <w:rPr>
                <w:rFonts w:eastAsia="Calibri" w:cs="Times New Roman"/>
                <w:b/>
                <w:bCs/>
                <w:i/>
                <w:iCs/>
                <w:color w:val="538135" w:themeColor="accent6" w:themeShade="BF"/>
                <w:lang w:val="de-DE"/>
              </w:rPr>
            </w:pPr>
          </w:p>
          <w:p w14:paraId="2C0069B3" w14:textId="552DE75F" w:rsidR="00E70CA3" w:rsidRPr="006B3D7C" w:rsidRDefault="00E70CA3" w:rsidP="001F50CA">
            <w:pPr>
              <w:spacing w:line="252" w:lineRule="auto"/>
              <w:jc w:val="center"/>
              <w:rPr>
                <w:rFonts w:eastAsia="Calibri" w:cs="Times New Roman"/>
                <w:b/>
                <w:bCs/>
                <w:i/>
                <w:iCs/>
                <w:color w:val="538135" w:themeColor="accent6" w:themeShade="BF"/>
                <w:sz w:val="20"/>
                <w:szCs w:val="20"/>
                <w:lang w:val="de-DE"/>
              </w:rPr>
            </w:pPr>
            <w:r w:rsidRPr="00E70CA3">
              <w:rPr>
                <w:b/>
                <w:i/>
                <w:color w:val="538135" w:themeColor="accent6" w:themeShade="BF"/>
                <w:sz w:val="20"/>
                <w:szCs w:val="20"/>
                <w:lang w:val="de"/>
              </w:rPr>
              <w:t xml:space="preserve">Für weitere Informationen besuchen Sie bitte </w:t>
            </w:r>
            <w:r w:rsidR="00A17499">
              <w:rPr>
                <w:b/>
                <w:i/>
                <w:color w:val="538135" w:themeColor="accent6" w:themeShade="BF"/>
                <w:sz w:val="20"/>
                <w:szCs w:val="20"/>
                <w:lang w:val="de"/>
              </w:rPr>
              <w:t>unsere Website</w:t>
            </w:r>
            <w:r w:rsidRPr="00E70CA3">
              <w:rPr>
                <w:b/>
                <w:i/>
                <w:color w:val="538135" w:themeColor="accent6" w:themeShade="BF"/>
                <w:sz w:val="20"/>
                <w:szCs w:val="20"/>
                <w:lang w:val="de"/>
              </w:rPr>
              <w:t>:</w:t>
            </w:r>
          </w:p>
          <w:p w14:paraId="26E3C92D" w14:textId="56E4B904" w:rsidR="00E70CA3" w:rsidRPr="00A17499" w:rsidRDefault="001252E6" w:rsidP="001F50CA">
            <w:pPr>
              <w:spacing w:line="252" w:lineRule="auto"/>
              <w:jc w:val="center"/>
              <w:rPr>
                <w:rFonts w:eastAsia="Calibri" w:cs="Times New Roman"/>
                <w:sz w:val="20"/>
                <w:szCs w:val="20"/>
                <w:lang w:val="fr-FR"/>
              </w:rPr>
            </w:pPr>
            <w:hyperlink r:id="rId9" w:history="1">
              <w:r w:rsidR="00A17499" w:rsidRPr="00A17499">
                <w:rPr>
                  <w:rStyle w:val="Hyperlink"/>
                  <w:sz w:val="20"/>
                  <w:szCs w:val="20"/>
                  <w:lang w:val="de"/>
                </w:rPr>
                <w:t>www.ngenvironment-project.eu</w:t>
              </w:r>
            </w:hyperlink>
          </w:p>
          <w:p w14:paraId="5602808F" w14:textId="571E90E7" w:rsidR="00E70CA3" w:rsidRPr="00A17499" w:rsidRDefault="00E70CA3" w:rsidP="001F50CA">
            <w:pPr>
              <w:jc w:val="center"/>
              <w:rPr>
                <w:rFonts w:cs="Times New Roman"/>
                <w:sz w:val="20"/>
                <w:szCs w:val="20"/>
                <w:lang w:val="en-GB"/>
              </w:rPr>
            </w:pPr>
          </w:p>
        </w:tc>
        <w:tc>
          <w:tcPr>
            <w:tcW w:w="284" w:type="dxa"/>
            <w:vMerge/>
            <w:shd w:val="clear" w:color="auto" w:fill="2F5496" w:themeFill="accent1" w:themeFillShade="BF"/>
          </w:tcPr>
          <w:p w14:paraId="390AC731" w14:textId="77777777" w:rsidR="00E70CA3" w:rsidRPr="00A17499" w:rsidRDefault="00E70CA3" w:rsidP="001F50CA">
            <w:pPr>
              <w:jc w:val="center"/>
              <w:rPr>
                <w:lang w:val="en-GB"/>
              </w:rPr>
            </w:pPr>
          </w:p>
        </w:tc>
        <w:tc>
          <w:tcPr>
            <w:tcW w:w="4394" w:type="dxa"/>
            <w:shd w:val="clear" w:color="auto" w:fill="C5E0B3" w:themeFill="accent6" w:themeFillTint="66"/>
          </w:tcPr>
          <w:p w14:paraId="17EA1E70" w14:textId="2A4F6371" w:rsidR="00E70CA3" w:rsidRPr="006B3D7C" w:rsidRDefault="00E70CA3" w:rsidP="001F50CA">
            <w:pPr>
              <w:jc w:val="center"/>
              <w:rPr>
                <w:lang w:val="de-DE"/>
              </w:rPr>
            </w:pPr>
          </w:p>
          <w:p w14:paraId="6DC31642" w14:textId="03192844" w:rsidR="00A17499" w:rsidRPr="006B3D7C" w:rsidRDefault="00D633B5" w:rsidP="009611D9">
            <w:pPr>
              <w:jc w:val="center"/>
              <w:rPr>
                <w:b/>
                <w:bCs/>
                <w:i/>
                <w:iCs/>
                <w:sz w:val="20"/>
                <w:szCs w:val="20"/>
                <w:lang w:val="de-DE"/>
              </w:rPr>
            </w:pPr>
            <w:r>
              <w:rPr>
                <w:b/>
                <w:i/>
                <w:sz w:val="20"/>
                <w:szCs w:val="20"/>
                <w:lang w:val="de"/>
              </w:rPr>
              <w:t>Folgen</w:t>
            </w:r>
            <w:r w:rsidR="00A17499" w:rsidRPr="00A17499">
              <w:rPr>
                <w:b/>
                <w:i/>
                <w:sz w:val="20"/>
                <w:szCs w:val="20"/>
                <w:lang w:val="de"/>
              </w:rPr>
              <w:t xml:space="preserve"> Sie uns auf Facebook und Twitter:</w:t>
            </w:r>
          </w:p>
          <w:p w14:paraId="37A1C60E" w14:textId="4F276481" w:rsidR="00A17499" w:rsidRPr="006B3D7C" w:rsidRDefault="001252E6" w:rsidP="009611D9">
            <w:pPr>
              <w:jc w:val="center"/>
              <w:rPr>
                <w:rStyle w:val="Hyperlink"/>
                <w:rFonts w:cs="Times New Roman"/>
                <w:sz w:val="20"/>
                <w:szCs w:val="20"/>
                <w:lang w:val="de-DE"/>
              </w:rPr>
            </w:pPr>
            <w:hyperlink r:id="rId10" w:history="1">
              <w:r w:rsidR="00A17499" w:rsidRPr="00A17499">
                <w:rPr>
                  <w:rStyle w:val="Hyperlink"/>
                  <w:sz w:val="20"/>
                  <w:szCs w:val="20"/>
                  <w:lang w:val="de"/>
                </w:rPr>
                <w:t>https://www.facebook.com/pg/ngenvironment</w:t>
              </w:r>
            </w:hyperlink>
          </w:p>
          <w:p w14:paraId="6D886316" w14:textId="7E40F2CF" w:rsidR="009611D9" w:rsidRPr="009611D9" w:rsidRDefault="001252E6" w:rsidP="009611D9">
            <w:pPr>
              <w:jc w:val="center"/>
              <w:rPr>
                <w:sz w:val="20"/>
                <w:szCs w:val="20"/>
                <w:lang w:val="en-GB"/>
              </w:rPr>
            </w:pPr>
            <w:hyperlink r:id="rId11" w:history="1">
              <w:r w:rsidR="009611D9" w:rsidRPr="009611D9">
                <w:rPr>
                  <w:rStyle w:val="Hyperlink"/>
                  <w:sz w:val="20"/>
                  <w:szCs w:val="20"/>
                  <w:lang w:val="de"/>
                </w:rPr>
                <w:t>https://twitter.com/NGEnvironment1</w:t>
              </w:r>
            </w:hyperlink>
          </w:p>
        </w:tc>
      </w:tr>
      <w:tr w:rsidR="00E70CA3" w:rsidRPr="00E70CA3" w14:paraId="6ECCF9F0" w14:textId="77777777" w:rsidTr="00DE401E">
        <w:tc>
          <w:tcPr>
            <w:tcW w:w="9776" w:type="dxa"/>
            <w:gridSpan w:val="3"/>
          </w:tcPr>
          <w:p w14:paraId="7B42B013" w14:textId="77777777" w:rsidR="00E70CA3" w:rsidRPr="006B3D7C" w:rsidRDefault="00E70CA3" w:rsidP="00E70CA3">
            <w:pPr>
              <w:jc w:val="center"/>
              <w:rPr>
                <w:rFonts w:cs="Times New Roman"/>
                <w:b/>
                <w:bCs/>
                <w:color w:val="538135" w:themeColor="accent6" w:themeShade="BF"/>
                <w:lang w:val="de-DE"/>
              </w:rPr>
            </w:pPr>
          </w:p>
          <w:p w14:paraId="576F95A7" w14:textId="1A2E494F" w:rsidR="00E70CA3" w:rsidRPr="006B3D7C" w:rsidRDefault="00E70CA3" w:rsidP="00E70CA3">
            <w:pPr>
              <w:jc w:val="center"/>
              <w:rPr>
                <w:lang w:val="de-DE"/>
              </w:rPr>
            </w:pPr>
            <w:r w:rsidRPr="00E70CA3">
              <w:rPr>
                <w:b/>
                <w:color w:val="538135" w:themeColor="accent6" w:themeShade="BF"/>
                <w:lang w:val="de"/>
              </w:rPr>
              <w:t>Die Partnerschaft von NGEnvironment setzt sich zusammen aus:</w:t>
            </w:r>
          </w:p>
        </w:tc>
      </w:tr>
      <w:tr w:rsidR="00E70CA3" w:rsidRPr="00E70CA3" w14:paraId="035F4975" w14:textId="77777777" w:rsidTr="00DE401E">
        <w:tc>
          <w:tcPr>
            <w:tcW w:w="5098" w:type="dxa"/>
          </w:tcPr>
          <w:p w14:paraId="14DE2617" w14:textId="77777777" w:rsidR="00E70CA3" w:rsidRPr="00D633B5" w:rsidRDefault="00E70CA3" w:rsidP="00E70CA3">
            <w:pPr>
              <w:spacing w:line="252" w:lineRule="auto"/>
              <w:jc w:val="both"/>
              <w:rPr>
                <w:rFonts w:eastAsia="Calibri" w:cs="Times New Roman"/>
                <w:sz w:val="19"/>
                <w:szCs w:val="19"/>
                <w:lang w:val="de-DE"/>
              </w:rPr>
            </w:pPr>
            <w:r w:rsidRPr="00D633B5">
              <w:rPr>
                <w:sz w:val="19"/>
                <w:szCs w:val="19"/>
                <w:lang w:val="de"/>
              </w:rPr>
              <w:t>1. UNIVERSITAET PADERBORN (Deutschland) - Koordinator</w:t>
            </w:r>
          </w:p>
          <w:p w14:paraId="2967F242" w14:textId="77777777" w:rsidR="00E70CA3" w:rsidRPr="00D633B5" w:rsidRDefault="00E70CA3" w:rsidP="00E70CA3">
            <w:pPr>
              <w:spacing w:line="252" w:lineRule="auto"/>
              <w:jc w:val="both"/>
              <w:rPr>
                <w:rFonts w:eastAsia="Calibri" w:cs="Times New Roman"/>
                <w:sz w:val="19"/>
                <w:szCs w:val="19"/>
                <w:lang w:val="de-DE"/>
              </w:rPr>
            </w:pPr>
            <w:r w:rsidRPr="00D633B5">
              <w:rPr>
                <w:sz w:val="19"/>
                <w:szCs w:val="19"/>
                <w:lang w:val="de"/>
              </w:rPr>
              <w:t>2. RIGHTCHALLENGE - ASSOCIATION (Portugal)</w:t>
            </w:r>
          </w:p>
          <w:p w14:paraId="13C5A6C5" w14:textId="4BE7447C" w:rsidR="00E70CA3" w:rsidRPr="00D633B5" w:rsidRDefault="00B9269C" w:rsidP="00B9269C">
            <w:pPr>
              <w:spacing w:line="252" w:lineRule="auto"/>
              <w:rPr>
                <w:rFonts w:eastAsia="Calibri" w:cs="Times New Roman"/>
                <w:sz w:val="19"/>
                <w:szCs w:val="19"/>
                <w:lang w:val="de-DE"/>
              </w:rPr>
            </w:pPr>
            <w:r>
              <w:rPr>
                <w:sz w:val="19"/>
                <w:szCs w:val="19"/>
                <w:lang w:val="de"/>
              </w:rPr>
              <w:t xml:space="preserve">3. </w:t>
            </w:r>
            <w:r w:rsidR="00E70CA3" w:rsidRPr="00D633B5">
              <w:rPr>
                <w:sz w:val="19"/>
                <w:szCs w:val="19"/>
                <w:lang w:val="de"/>
              </w:rPr>
              <w:t>GESELLSCHAFT FÜR UMWELTBILDUNG von KORINTHIA (Korinthia)</w:t>
            </w:r>
          </w:p>
          <w:p w14:paraId="6E2447DD" w14:textId="77777777" w:rsidR="00E70CA3" w:rsidRPr="00D633B5" w:rsidRDefault="00E70CA3" w:rsidP="00E70CA3">
            <w:pPr>
              <w:pStyle w:val="Standard1"/>
              <w:spacing w:line="200" w:lineRule="atLeast"/>
              <w:rPr>
                <w:rFonts w:cs="Times New Roman"/>
                <w:sz w:val="19"/>
                <w:szCs w:val="19"/>
                <w:lang w:val="en-GB"/>
              </w:rPr>
            </w:pPr>
            <w:r w:rsidRPr="00D633B5">
              <w:rPr>
                <w:sz w:val="19"/>
                <w:szCs w:val="19"/>
                <w:lang w:val="de"/>
              </w:rPr>
              <w:t>4. ACROSSLIMITS LTD (Malta)</w:t>
            </w:r>
          </w:p>
          <w:p w14:paraId="05A9F266" w14:textId="33E37719" w:rsidR="00E70CA3" w:rsidRPr="00D633B5" w:rsidRDefault="00E70CA3" w:rsidP="00D633B5">
            <w:pPr>
              <w:pStyle w:val="Standard1"/>
              <w:spacing w:line="200" w:lineRule="atLeast"/>
              <w:rPr>
                <w:rFonts w:cs="Times New Roman"/>
                <w:sz w:val="19"/>
                <w:szCs w:val="19"/>
                <w:lang w:val="en-GB"/>
              </w:rPr>
            </w:pPr>
            <w:r w:rsidRPr="00D633B5">
              <w:rPr>
                <w:sz w:val="19"/>
                <w:szCs w:val="19"/>
                <w:lang w:val="de"/>
              </w:rPr>
              <w:t>5. ZUKUNFT IN PERSPEKTIVE LIMITED (Irland)</w:t>
            </w:r>
          </w:p>
        </w:tc>
        <w:tc>
          <w:tcPr>
            <w:tcW w:w="284" w:type="dxa"/>
            <w:shd w:val="clear" w:color="auto" w:fill="2F5496" w:themeFill="accent1" w:themeFillShade="BF"/>
          </w:tcPr>
          <w:p w14:paraId="6440FD25" w14:textId="5A816288" w:rsidR="00E70CA3" w:rsidRPr="00E70CA3" w:rsidRDefault="00E70CA3" w:rsidP="00E70CA3">
            <w:pPr>
              <w:pStyle w:val="Standard1"/>
              <w:spacing w:line="200" w:lineRule="atLeast"/>
              <w:rPr>
                <w:rFonts w:cs="Times New Roman"/>
                <w:sz w:val="20"/>
                <w:szCs w:val="20"/>
                <w:lang w:val="en-GB"/>
              </w:rPr>
            </w:pPr>
          </w:p>
        </w:tc>
        <w:tc>
          <w:tcPr>
            <w:tcW w:w="4394" w:type="dxa"/>
          </w:tcPr>
          <w:p w14:paraId="2ADDCDD6" w14:textId="77777777" w:rsidR="00E70CA3" w:rsidRPr="00D633B5" w:rsidRDefault="00E70CA3" w:rsidP="00E70CA3">
            <w:pPr>
              <w:pStyle w:val="Standard1"/>
              <w:spacing w:line="200" w:lineRule="atLeast"/>
              <w:rPr>
                <w:rFonts w:cs="Times New Roman"/>
                <w:sz w:val="19"/>
                <w:szCs w:val="19"/>
                <w:lang w:val="fr-FR"/>
              </w:rPr>
            </w:pPr>
            <w:r w:rsidRPr="00D633B5">
              <w:rPr>
                <w:sz w:val="19"/>
                <w:szCs w:val="19"/>
                <w:lang w:val="de"/>
              </w:rPr>
              <w:t>6. KULTUR- UND UMWELTVEREINIGUNG PERMACULTURA CANTABRIA (Spanien)</w:t>
            </w:r>
          </w:p>
          <w:p w14:paraId="17704859" w14:textId="1EF4A800" w:rsidR="00E70CA3" w:rsidRPr="00D633B5" w:rsidRDefault="00E70CA3" w:rsidP="00E70CA3">
            <w:pPr>
              <w:pStyle w:val="Standard1"/>
              <w:spacing w:line="200" w:lineRule="atLeast"/>
              <w:rPr>
                <w:rFonts w:cs="Times New Roman"/>
                <w:sz w:val="19"/>
                <w:szCs w:val="19"/>
                <w:lang w:val="fr-FR"/>
              </w:rPr>
            </w:pPr>
            <w:r w:rsidRPr="00D633B5">
              <w:rPr>
                <w:sz w:val="19"/>
                <w:szCs w:val="19"/>
                <w:lang w:val="en-US"/>
              </w:rPr>
              <w:t>7. CONSORTIAL SOCIA SINERGIE TO LIMITED RESPONSABILITY (Italien)</w:t>
            </w:r>
          </w:p>
          <w:p w14:paraId="32690E88" w14:textId="49943062" w:rsidR="00E70CA3" w:rsidRPr="006B3D7C" w:rsidRDefault="00E70CA3" w:rsidP="00E70CA3">
            <w:pPr>
              <w:rPr>
                <w:lang w:val="de-DE"/>
              </w:rPr>
            </w:pPr>
            <w:r w:rsidRPr="00D633B5">
              <w:rPr>
                <w:sz w:val="19"/>
                <w:szCs w:val="19"/>
                <w:lang w:val="de"/>
              </w:rPr>
              <w:t>8. GRUPPE FÜR EUROPÄISCHE INTEGRATION (Rumänien)</w:t>
            </w:r>
          </w:p>
        </w:tc>
      </w:tr>
    </w:tbl>
    <w:p w14:paraId="657306EC" w14:textId="3F9A2E65" w:rsidR="001A7C3D" w:rsidRPr="006B3D7C" w:rsidRDefault="001A7C3D" w:rsidP="001A7C3D">
      <w:pPr>
        <w:rPr>
          <w:lang w:val="de-DE"/>
        </w:rPr>
      </w:pPr>
    </w:p>
    <w:sectPr w:rsidR="001A7C3D" w:rsidRPr="006B3D7C">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440" w:left="1440"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7AFDE194" w16cid:durableId="2187CB26"/>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9533D7D" w14:textId="77777777" w:rsidR="001252E6" w:rsidRDefault="001252E6" w:rsidP="000B42F9">
      <w:r>
        <w:rPr>
          <w:lang w:val="de"/>
        </w:rPr>
        <w:separator/>
      </w:r>
    </w:p>
  </w:endnote>
  <w:endnote w:type="continuationSeparator" w:id="0">
    <w:p w14:paraId="1B42FAC4" w14:textId="77777777" w:rsidR="001252E6" w:rsidRDefault="001252E6" w:rsidP="000B42F9">
      <w:r>
        <w:rPr>
          <w:lang w:val="de"/>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E3F934" w14:textId="77777777" w:rsidR="00B9269C" w:rsidRDefault="00B9269C">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tblBorders>
      <w:tblLook w:val="04A0" w:firstRow="1" w:lastRow="0" w:firstColumn="1" w:lastColumn="0" w:noHBand="0" w:noVBand="1"/>
    </w:tblPr>
    <w:tblGrid>
      <w:gridCol w:w="2891"/>
      <w:gridCol w:w="6135"/>
    </w:tblGrid>
    <w:tr w:rsidR="00CD2C73" w:rsidRPr="00AD18D2" w14:paraId="19BFBAA6" w14:textId="77777777" w:rsidTr="00B9269C">
      <w:trPr>
        <w:trHeight w:val="699"/>
      </w:trPr>
      <w:tc>
        <w:tcPr>
          <w:tcW w:w="3849" w:type="dxa"/>
          <w:shd w:val="clear" w:color="auto" w:fill="auto"/>
          <w:hideMark/>
        </w:tcPr>
        <w:p w14:paraId="2DCD11E9" w14:textId="209BF295" w:rsidR="00CD2C73" w:rsidRPr="00AD18D2" w:rsidRDefault="008A00DB" w:rsidP="00CD2C73">
          <w:pPr>
            <w:rPr>
              <w:rFonts w:eastAsia="Times New Roman" w:cs="Times New Roman"/>
              <w:sz w:val="18"/>
              <w:szCs w:val="22"/>
              <w:lang w:val="en-US"/>
            </w:rPr>
          </w:pPr>
          <w:r w:rsidRPr="002F34FB">
            <w:rPr>
              <w:noProof/>
              <w:sz w:val="20"/>
              <w:szCs w:val="20"/>
              <w:lang w:val="de-DE" w:eastAsia="de-DE"/>
            </w:rPr>
            <w:drawing>
              <wp:anchor distT="0" distB="0" distL="114300" distR="114300" simplePos="0" relativeHeight="251661312" behindDoc="0" locked="0" layoutInCell="1" allowOverlap="1" wp14:anchorId="19B5EF96" wp14:editId="7052CE60">
                <wp:simplePos x="0" y="0"/>
                <wp:positionH relativeFrom="column">
                  <wp:posOffset>1270</wp:posOffset>
                </wp:positionH>
                <wp:positionV relativeFrom="paragraph">
                  <wp:posOffset>92075</wp:posOffset>
                </wp:positionV>
                <wp:extent cx="1993900" cy="301048"/>
                <wp:effectExtent l="0" t="0" r="6350" b="381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93900" cy="301048"/>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7741" w:type="dxa"/>
          <w:shd w:val="clear" w:color="auto" w:fill="auto"/>
          <w:hideMark/>
        </w:tcPr>
        <w:p w14:paraId="2F34DAEE" w14:textId="56F7D593" w:rsidR="00CD2C73" w:rsidRPr="00B9269C" w:rsidRDefault="00B9269C" w:rsidP="00CD2C73">
          <w:pPr>
            <w:ind w:left="524"/>
            <w:jc w:val="both"/>
            <w:rPr>
              <w:rFonts w:eastAsia="Times New Roman" w:cs="Times New Roman"/>
              <w:sz w:val="18"/>
              <w:szCs w:val="22"/>
              <w:lang w:val="en-GB"/>
            </w:rPr>
          </w:pPr>
          <w:bookmarkStart w:id="0" w:name="_Hlk22933027"/>
          <w:r w:rsidRPr="00B9269C">
            <w:rPr>
              <w:sz w:val="18"/>
              <w:lang w:val="en-GB"/>
            </w:rPr>
            <w:t>The European Commission support for the production of this publication does not constitute an endorsement of the contents which reflects the views only of the authors, and the Commission cannot be held responsible for any use which may be made of the information contained therein</w:t>
          </w:r>
          <w:r w:rsidR="00CD2C73" w:rsidRPr="00B9269C">
            <w:rPr>
              <w:sz w:val="18"/>
              <w:lang w:val="en-GB"/>
            </w:rPr>
            <w:t>.</w:t>
          </w:r>
          <w:bookmarkEnd w:id="0"/>
        </w:p>
      </w:tc>
    </w:tr>
  </w:tbl>
  <w:p w14:paraId="2DCF52E6" w14:textId="1EBACB2C" w:rsidR="00CD2C73" w:rsidRPr="00B9269C" w:rsidRDefault="00CD2C73" w:rsidP="00CD2C73">
    <w:pPr>
      <w:pStyle w:val="Fuzeile"/>
      <w:rPr>
        <w:lang w:val="en-GB"/>
      </w:rPr>
    </w:pPr>
  </w:p>
  <w:p w14:paraId="7ABB7772" w14:textId="77777777" w:rsidR="00CD2C73" w:rsidRDefault="00CD2C73">
    <w:pPr>
      <w:pStyle w:val="Fuzeile"/>
    </w:pPr>
    <w:bookmarkStart w:id="1" w:name="_GoBack"/>
    <w:bookmarkEnd w:id="1"/>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2A8A6C" w14:textId="77777777" w:rsidR="00B9269C" w:rsidRDefault="00B9269C">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D15BD5F" w14:textId="77777777" w:rsidR="001252E6" w:rsidRDefault="001252E6" w:rsidP="000B42F9">
      <w:r>
        <w:rPr>
          <w:lang w:val="de"/>
        </w:rPr>
        <w:separator/>
      </w:r>
    </w:p>
  </w:footnote>
  <w:footnote w:type="continuationSeparator" w:id="0">
    <w:p w14:paraId="45168939" w14:textId="77777777" w:rsidR="001252E6" w:rsidRDefault="001252E6" w:rsidP="000B42F9">
      <w:r>
        <w:rPr>
          <w:lang w:val="de"/>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69F5EEC" w14:textId="77777777" w:rsidR="00B9269C" w:rsidRDefault="00B9269C">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105F67" w14:textId="39E9D424" w:rsidR="000B42F9" w:rsidRDefault="000B42F9">
    <w:pPr>
      <w:pStyle w:val="Kopfzeile"/>
    </w:pPr>
    <w:r w:rsidRPr="00BB443C">
      <w:rPr>
        <w:noProof/>
        <w:sz w:val="20"/>
        <w:szCs w:val="20"/>
        <w:lang w:val="de-DE" w:eastAsia="de-DE"/>
      </w:rPr>
      <w:drawing>
        <wp:anchor distT="0" distB="0" distL="114300" distR="114300" simplePos="0" relativeHeight="251660288" behindDoc="0" locked="0" layoutInCell="1" allowOverlap="1" wp14:anchorId="1ACEDB1A" wp14:editId="5A7C2E03">
          <wp:simplePos x="0" y="0"/>
          <wp:positionH relativeFrom="margin">
            <wp:align>left</wp:align>
          </wp:positionH>
          <wp:positionV relativeFrom="paragraph">
            <wp:posOffset>-430530</wp:posOffset>
          </wp:positionV>
          <wp:extent cx="1416050" cy="14160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16050" cy="141605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CB82753" w14:textId="1726CFC2" w:rsidR="000B42F9" w:rsidRPr="006B3D7C" w:rsidRDefault="000B42F9" w:rsidP="001A7C3D">
    <w:pPr>
      <w:ind w:right="-330"/>
      <w:jc w:val="right"/>
      <w:rPr>
        <w:rFonts w:cs="Times New Roman"/>
        <w:b/>
        <w:bCs/>
        <w:color w:val="538135"/>
        <w:sz w:val="20"/>
        <w:szCs w:val="20"/>
        <w:lang w:val="de-DE"/>
      </w:rPr>
    </w:pPr>
    <w:r>
      <w:rPr>
        <w:b/>
        <w:color w:val="538135"/>
        <w:sz w:val="20"/>
        <w:szCs w:val="20"/>
        <w:lang w:val="de"/>
      </w:rPr>
      <w:tab/>
    </w:r>
    <w:r w:rsidRPr="000B42F9">
      <w:rPr>
        <w:b/>
        <w:color w:val="538135"/>
        <w:sz w:val="20"/>
        <w:szCs w:val="20"/>
        <w:lang w:val="de"/>
      </w:rPr>
      <w:t>Erasmus+-Projekt für Zusammenarbeit bei Innovation</w:t>
    </w:r>
    <w:r w:rsidR="00914F09">
      <w:rPr>
        <w:b/>
        <w:color w:val="538135"/>
        <w:sz w:val="20"/>
        <w:szCs w:val="20"/>
        <w:lang w:val="de"/>
      </w:rPr>
      <w:t>en</w:t>
    </w:r>
    <w:r w:rsidRPr="000B42F9">
      <w:rPr>
        <w:b/>
        <w:color w:val="538135"/>
        <w:sz w:val="20"/>
        <w:szCs w:val="20"/>
        <w:lang w:val="de"/>
      </w:rPr>
      <w:t xml:space="preserve"> und Austausch bewährter Verfahren</w:t>
    </w:r>
  </w:p>
  <w:p w14:paraId="0FC95B72" w14:textId="67BD76A5" w:rsidR="000B42F9" w:rsidRPr="006B3D7C" w:rsidRDefault="000B42F9" w:rsidP="001A7C3D">
    <w:pPr>
      <w:ind w:right="-330"/>
      <w:jc w:val="right"/>
      <w:rPr>
        <w:rFonts w:cs="Times New Roman"/>
        <w:b/>
        <w:bCs/>
        <w:color w:val="538135"/>
        <w:sz w:val="20"/>
        <w:szCs w:val="20"/>
        <w:lang w:val="de-DE"/>
      </w:rPr>
    </w:pPr>
    <w:r w:rsidRPr="000B42F9">
      <w:rPr>
        <w:b/>
        <w:color w:val="538135"/>
        <w:sz w:val="20"/>
        <w:szCs w:val="20"/>
        <w:lang w:val="de"/>
      </w:rPr>
      <w:t xml:space="preserve">Strategische Partnerschaften für die Erwachsenenbildung </w:t>
    </w:r>
  </w:p>
  <w:p w14:paraId="3AC5D20C" w14:textId="1E7A63D5" w:rsidR="000B42F9" w:rsidRPr="006B3D7C" w:rsidRDefault="000B42F9" w:rsidP="001A7C3D">
    <w:pPr>
      <w:ind w:right="-330"/>
      <w:jc w:val="right"/>
      <w:rPr>
        <w:b/>
        <w:bCs/>
        <w:sz w:val="20"/>
        <w:szCs w:val="20"/>
        <w:lang w:val="de-DE"/>
      </w:rPr>
    </w:pPr>
    <w:r w:rsidRPr="000B42F9">
      <w:rPr>
        <w:b/>
        <w:sz w:val="20"/>
        <w:szCs w:val="20"/>
        <w:lang w:val="de"/>
      </w:rPr>
      <w:t>Projekt-Nr.: 2018-1-DE02-KA204-005014</w:t>
    </w:r>
  </w:p>
  <w:p w14:paraId="31308B0A" w14:textId="686305FE" w:rsidR="000B42F9" w:rsidRDefault="000B42F9">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D2E79E" w14:textId="77777777" w:rsidR="00B9269C" w:rsidRDefault="00B9269C">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2F9"/>
    <w:rsid w:val="00072583"/>
    <w:rsid w:val="000B42F9"/>
    <w:rsid w:val="001252E6"/>
    <w:rsid w:val="001A7C3D"/>
    <w:rsid w:val="001F50CA"/>
    <w:rsid w:val="002153EF"/>
    <w:rsid w:val="003948EC"/>
    <w:rsid w:val="00417E90"/>
    <w:rsid w:val="004E393F"/>
    <w:rsid w:val="0060759B"/>
    <w:rsid w:val="006B3D7C"/>
    <w:rsid w:val="00703F96"/>
    <w:rsid w:val="00737BDA"/>
    <w:rsid w:val="008A00DB"/>
    <w:rsid w:val="00914F09"/>
    <w:rsid w:val="009611D9"/>
    <w:rsid w:val="00A17499"/>
    <w:rsid w:val="00B9269C"/>
    <w:rsid w:val="00BD5B99"/>
    <w:rsid w:val="00BE2E21"/>
    <w:rsid w:val="00CC2A33"/>
    <w:rsid w:val="00CD2C73"/>
    <w:rsid w:val="00D57126"/>
    <w:rsid w:val="00D633B5"/>
    <w:rsid w:val="00DE401E"/>
    <w:rsid w:val="00E70CA3"/>
    <w:rsid w:val="00F41C15"/>
    <w:rsid w:val="00FA525D"/>
    <w:rsid w:val="00FE1B1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6B80FEB"/>
  <w15:chartTrackingRefBased/>
  <w15:docId w15:val="{FF64677A-D8B0-4E57-BCD9-923EFB5D83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D2C73"/>
    <w:pPr>
      <w:widowControl w:val="0"/>
      <w:suppressAutoHyphens/>
      <w:autoSpaceDN w:val="0"/>
      <w:spacing w:after="0" w:line="240" w:lineRule="auto"/>
      <w:textAlignment w:val="baseline"/>
    </w:pPr>
    <w:rPr>
      <w:rFonts w:ascii="Times New Roman" w:hAnsi="Times New Roman" w:cs="Arial"/>
      <w:kern w:val="3"/>
      <w:sz w:val="24"/>
      <w:szCs w:val="24"/>
      <w:lang w:val="ro-RO" w:eastAsia="zh-C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B42F9"/>
    <w:pPr>
      <w:tabs>
        <w:tab w:val="center" w:pos="4513"/>
        <w:tab w:val="right" w:pos="9026"/>
      </w:tabs>
    </w:pPr>
  </w:style>
  <w:style w:type="character" w:customStyle="1" w:styleId="KopfzeileZchn">
    <w:name w:val="Kopfzeile Zchn"/>
    <w:basedOn w:val="Absatz-Standardschriftart"/>
    <w:link w:val="Kopfzeile"/>
    <w:uiPriority w:val="99"/>
    <w:rsid w:val="000B42F9"/>
    <w:rPr>
      <w:lang w:val="ro-RO"/>
    </w:rPr>
  </w:style>
  <w:style w:type="paragraph" w:styleId="Fuzeile">
    <w:name w:val="footer"/>
    <w:basedOn w:val="Standard"/>
    <w:link w:val="FuzeileZchn"/>
    <w:uiPriority w:val="99"/>
    <w:unhideWhenUsed/>
    <w:rsid w:val="000B42F9"/>
    <w:pPr>
      <w:tabs>
        <w:tab w:val="center" w:pos="4513"/>
        <w:tab w:val="right" w:pos="9026"/>
      </w:tabs>
    </w:pPr>
  </w:style>
  <w:style w:type="character" w:customStyle="1" w:styleId="FuzeileZchn">
    <w:name w:val="Fußzeile Zchn"/>
    <w:basedOn w:val="Absatz-Standardschriftart"/>
    <w:link w:val="Fuzeile"/>
    <w:uiPriority w:val="99"/>
    <w:rsid w:val="000B42F9"/>
    <w:rPr>
      <w:lang w:val="ro-RO"/>
    </w:rPr>
  </w:style>
  <w:style w:type="paragraph" w:customStyle="1" w:styleId="Standard1">
    <w:name w:val="Standard1"/>
    <w:rsid w:val="00CD2C73"/>
    <w:pPr>
      <w:widowControl w:val="0"/>
      <w:suppressAutoHyphens/>
      <w:autoSpaceDN w:val="0"/>
      <w:spacing w:after="0" w:line="240" w:lineRule="auto"/>
      <w:textAlignment w:val="baseline"/>
    </w:pPr>
    <w:rPr>
      <w:rFonts w:ascii="Times New Roman" w:hAnsi="Times New Roman" w:cs="Arial"/>
      <w:kern w:val="3"/>
      <w:sz w:val="24"/>
      <w:szCs w:val="24"/>
      <w:lang w:val="it-IT" w:eastAsia="zh-CN"/>
    </w:rPr>
  </w:style>
  <w:style w:type="table" w:styleId="Tabellenraster">
    <w:name w:val="Table Grid"/>
    <w:basedOn w:val="NormaleTabelle"/>
    <w:uiPriority w:val="39"/>
    <w:rsid w:val="001A7C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DE401E"/>
    <w:rPr>
      <w:color w:val="0563C1"/>
      <w:u w:val="single"/>
    </w:rPr>
  </w:style>
  <w:style w:type="character" w:styleId="BesuchterLink">
    <w:name w:val="FollowedHyperlink"/>
    <w:basedOn w:val="Absatz-Standardschriftart"/>
    <w:uiPriority w:val="99"/>
    <w:semiHidden/>
    <w:unhideWhenUsed/>
    <w:rsid w:val="00DE401E"/>
    <w:rPr>
      <w:color w:val="954F72" w:themeColor="followedHyperlink"/>
      <w:u w:val="single"/>
    </w:rPr>
  </w:style>
  <w:style w:type="character" w:customStyle="1" w:styleId="UnresolvedMention">
    <w:name w:val="Unresolved Mention"/>
    <w:basedOn w:val="Absatz-Standardschriftart"/>
    <w:uiPriority w:val="99"/>
    <w:semiHidden/>
    <w:unhideWhenUsed/>
    <w:rsid w:val="00A17499"/>
    <w:rPr>
      <w:color w:val="605E5C"/>
      <w:shd w:val="clear" w:color="auto" w:fill="E1DFDD"/>
    </w:rPr>
  </w:style>
  <w:style w:type="character" w:styleId="Platzhaltertext">
    <w:name w:val="Placeholder Text"/>
    <w:basedOn w:val="Absatz-Standardschriftart"/>
    <w:uiPriority w:val="99"/>
    <w:semiHidden/>
    <w:rsid w:val="006B3D7C"/>
    <w:rPr>
      <w:color w:val="808080"/>
    </w:rPr>
  </w:style>
  <w:style w:type="character" w:styleId="Kommentarzeichen">
    <w:name w:val="annotation reference"/>
    <w:basedOn w:val="Absatz-Standardschriftart"/>
    <w:uiPriority w:val="99"/>
    <w:semiHidden/>
    <w:unhideWhenUsed/>
    <w:rsid w:val="00914F09"/>
    <w:rPr>
      <w:sz w:val="16"/>
      <w:szCs w:val="16"/>
    </w:rPr>
  </w:style>
  <w:style w:type="paragraph" w:styleId="Kommentartext">
    <w:name w:val="annotation text"/>
    <w:basedOn w:val="Standard"/>
    <w:link w:val="KommentartextZchn"/>
    <w:uiPriority w:val="99"/>
    <w:semiHidden/>
    <w:unhideWhenUsed/>
    <w:rsid w:val="00914F09"/>
    <w:rPr>
      <w:sz w:val="20"/>
      <w:szCs w:val="20"/>
    </w:rPr>
  </w:style>
  <w:style w:type="character" w:customStyle="1" w:styleId="KommentartextZchn">
    <w:name w:val="Kommentartext Zchn"/>
    <w:basedOn w:val="Absatz-Standardschriftart"/>
    <w:link w:val="Kommentartext"/>
    <w:uiPriority w:val="99"/>
    <w:semiHidden/>
    <w:rsid w:val="00914F09"/>
    <w:rPr>
      <w:rFonts w:ascii="Times New Roman" w:hAnsi="Times New Roman" w:cs="Arial"/>
      <w:kern w:val="3"/>
      <w:sz w:val="20"/>
      <w:szCs w:val="20"/>
      <w:lang w:val="ro-RO" w:eastAsia="zh-CN"/>
    </w:rPr>
  </w:style>
  <w:style w:type="paragraph" w:styleId="Kommentarthema">
    <w:name w:val="annotation subject"/>
    <w:basedOn w:val="Kommentartext"/>
    <w:next w:val="Kommentartext"/>
    <w:link w:val="KommentarthemaZchn"/>
    <w:uiPriority w:val="99"/>
    <w:semiHidden/>
    <w:unhideWhenUsed/>
    <w:rsid w:val="00914F09"/>
    <w:rPr>
      <w:b/>
      <w:bCs/>
    </w:rPr>
  </w:style>
  <w:style w:type="character" w:customStyle="1" w:styleId="KommentarthemaZchn">
    <w:name w:val="Kommentarthema Zchn"/>
    <w:basedOn w:val="KommentartextZchn"/>
    <w:link w:val="Kommentarthema"/>
    <w:uiPriority w:val="99"/>
    <w:semiHidden/>
    <w:rsid w:val="00914F09"/>
    <w:rPr>
      <w:rFonts w:ascii="Times New Roman" w:hAnsi="Times New Roman" w:cs="Arial"/>
      <w:b/>
      <w:bCs/>
      <w:kern w:val="3"/>
      <w:sz w:val="20"/>
      <w:szCs w:val="20"/>
      <w:lang w:val="ro-RO" w:eastAsia="zh-CN"/>
    </w:rPr>
  </w:style>
  <w:style w:type="paragraph" w:styleId="Sprechblasentext">
    <w:name w:val="Balloon Text"/>
    <w:basedOn w:val="Standard"/>
    <w:link w:val="SprechblasentextZchn"/>
    <w:uiPriority w:val="99"/>
    <w:semiHidden/>
    <w:unhideWhenUsed/>
    <w:rsid w:val="00914F09"/>
    <w:rPr>
      <w:rFonts w:cs="Times New Roman"/>
      <w:sz w:val="18"/>
      <w:szCs w:val="18"/>
    </w:rPr>
  </w:style>
  <w:style w:type="character" w:customStyle="1" w:styleId="SprechblasentextZchn">
    <w:name w:val="Sprechblasentext Zchn"/>
    <w:basedOn w:val="Absatz-Standardschriftart"/>
    <w:link w:val="Sprechblasentext"/>
    <w:uiPriority w:val="99"/>
    <w:semiHidden/>
    <w:rsid w:val="00914F09"/>
    <w:rPr>
      <w:rFonts w:ascii="Times New Roman" w:hAnsi="Times New Roman" w:cs="Times New Roman"/>
      <w:kern w:val="3"/>
      <w:sz w:val="18"/>
      <w:szCs w:val="18"/>
      <w:lang w:val="ro-RO"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76691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twitter.com/NGEnvironment1"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s://www.facebook.com/pg/ngenvironment" TargetMode="External"/><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hyperlink" Target="http://www.ngenvironment-project.eu" TargetMode="Externa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4E1315E-4D27-4985-956F-A5E01880C56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2C269B26-E95A-4DFB-A3EC-09238C1037D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C6089F4-9DDB-4A0B-A5C2-425AD59C0E6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369</Words>
  <Characters>2325</Characters>
  <Application>Microsoft Office Word</Application>
  <DocSecurity>0</DocSecurity>
  <Lines>19</Lines>
  <Paragraphs>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Admin</cp:lastModifiedBy>
  <cp:revision>2</cp:revision>
  <dcterms:created xsi:type="dcterms:W3CDTF">2019-11-27T07:49:00Z</dcterms:created>
  <dcterms:modified xsi:type="dcterms:W3CDTF">2019-11-27T07:49:00Z</dcterms:modified>
</cp:coreProperties>
</file>